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26" w:rsidRPr="00034723" w:rsidRDefault="00955687" w:rsidP="00AE6F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Incapacidad temporal por contingencias comunes, novedades normativas</w:t>
      </w:r>
    </w:p>
    <w:p w:rsidR="00034723" w:rsidRPr="00034723" w:rsidRDefault="00034723" w:rsidP="00034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23" w:rsidRDefault="00955687" w:rsidP="0003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Incapacidad temporal por contingencias comunes, nue</w:t>
      </w:r>
      <w:r w:rsidR="00AE6F14">
        <w:rPr>
          <w:rFonts w:ascii="Times New Roman" w:hAnsi="Times New Roman" w:cs="Times New Roman"/>
          <w:sz w:val="24"/>
          <w:szCs w:val="24"/>
        </w:rPr>
        <w:t xml:space="preserve">va normativa. El </w:t>
      </w:r>
      <w:r w:rsidR="00034723" w:rsidRPr="00034723">
        <w:rPr>
          <w:rFonts w:ascii="Times New Roman" w:hAnsi="Times New Roman" w:cs="Times New Roman"/>
          <w:sz w:val="24"/>
          <w:szCs w:val="24"/>
        </w:rPr>
        <w:t xml:space="preserve">Real </w:t>
      </w:r>
      <w:r w:rsidR="00034723">
        <w:rPr>
          <w:rFonts w:ascii="Times New Roman" w:hAnsi="Times New Roman" w:cs="Times New Roman"/>
          <w:sz w:val="24"/>
          <w:szCs w:val="24"/>
        </w:rPr>
        <w:t>Decreto</w:t>
      </w:r>
      <w:r w:rsidR="00034723" w:rsidRPr="00034723">
        <w:rPr>
          <w:rFonts w:ascii="Times New Roman" w:hAnsi="Times New Roman" w:cs="Times New Roman"/>
          <w:sz w:val="24"/>
          <w:szCs w:val="24"/>
        </w:rPr>
        <w:t xml:space="preserve"> 625/2014, del 18 de julio por el que se  regulan determinados aspectos de la gestión de los procesos de </w:t>
      </w:r>
      <w:r>
        <w:rPr>
          <w:rFonts w:ascii="Times New Roman" w:hAnsi="Times New Roman" w:cs="Times New Roman"/>
          <w:sz w:val="24"/>
          <w:szCs w:val="24"/>
        </w:rPr>
        <w:t>Incapacidad temporal por contingencias comunes</w:t>
      </w:r>
      <w:r w:rsidR="00034723" w:rsidRPr="00034723">
        <w:rPr>
          <w:rFonts w:ascii="Times New Roman" w:hAnsi="Times New Roman" w:cs="Times New Roman"/>
          <w:sz w:val="24"/>
          <w:szCs w:val="24"/>
        </w:rPr>
        <w:t xml:space="preserve"> en los primeros 365 días de duración. </w:t>
      </w:r>
    </w:p>
    <w:p w:rsidR="009B58A1" w:rsidRDefault="009B58A1" w:rsidP="0003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sus novedades destaca una nueva configuración de los partes de baja</w:t>
      </w:r>
      <w:r w:rsidR="00955687">
        <w:rPr>
          <w:rFonts w:ascii="Times New Roman" w:hAnsi="Times New Roman" w:cs="Times New Roman"/>
          <w:sz w:val="24"/>
          <w:szCs w:val="24"/>
        </w:rPr>
        <w:t xml:space="preserve"> Incapacidad temporal por contingencias comunes</w:t>
      </w:r>
      <w:r>
        <w:rPr>
          <w:rFonts w:ascii="Times New Roman" w:hAnsi="Times New Roman" w:cs="Times New Roman"/>
          <w:sz w:val="24"/>
          <w:szCs w:val="24"/>
        </w:rPr>
        <w:t xml:space="preserve">, de confirmación y de alta médica que posteriormente deberán ser desarrollados por una Orden Ministerial. </w:t>
      </w:r>
    </w:p>
    <w:p w:rsidR="009257FE" w:rsidRDefault="009B58A1" w:rsidP="00925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cuanto a los partes de baja y de confirmación</w:t>
      </w:r>
      <w:r w:rsidR="00955687">
        <w:rPr>
          <w:rFonts w:ascii="Times New Roman" w:hAnsi="Times New Roman" w:cs="Times New Roman"/>
          <w:sz w:val="24"/>
          <w:szCs w:val="24"/>
        </w:rPr>
        <w:t xml:space="preserve"> de </w:t>
      </w:r>
      <w:r w:rsidR="00955687" w:rsidRPr="00955687">
        <w:rPr>
          <w:rFonts w:ascii="Times New Roman" w:hAnsi="Times New Roman" w:cs="Times New Roman"/>
          <w:sz w:val="24"/>
          <w:szCs w:val="24"/>
        </w:rPr>
        <w:t>Incapacidad temporal por contingencias comunes</w:t>
      </w:r>
      <w:r w:rsidR="0095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nota</w:t>
      </w:r>
      <w:r w:rsidR="00955687">
        <w:rPr>
          <w:rFonts w:ascii="Times New Roman" w:hAnsi="Times New Roman" w:cs="Times New Roman"/>
          <w:sz w:val="24"/>
          <w:szCs w:val="24"/>
        </w:rPr>
        <w:t xml:space="preserve"> característica</w:t>
      </w:r>
      <w:r>
        <w:rPr>
          <w:rFonts w:ascii="Times New Roman" w:hAnsi="Times New Roman" w:cs="Times New Roman"/>
          <w:sz w:val="24"/>
          <w:szCs w:val="24"/>
        </w:rPr>
        <w:t xml:space="preserve">, según se establece en </w:t>
      </w:r>
      <w:r w:rsidR="00AD038E">
        <w:rPr>
          <w:rFonts w:ascii="Times New Roman" w:hAnsi="Times New Roman" w:cs="Times New Roman"/>
          <w:sz w:val="24"/>
          <w:szCs w:val="24"/>
        </w:rPr>
        <w:t>apartado</w:t>
      </w:r>
      <w:r w:rsidR="009257FE">
        <w:rPr>
          <w:rFonts w:ascii="Times New Roman" w:hAnsi="Times New Roman" w:cs="Times New Roman"/>
          <w:sz w:val="24"/>
          <w:szCs w:val="24"/>
        </w:rPr>
        <w:t xml:space="preserve"> tercero del art. </w:t>
      </w:r>
      <w:r>
        <w:rPr>
          <w:rFonts w:ascii="Times New Roman" w:hAnsi="Times New Roman" w:cs="Times New Roman"/>
          <w:sz w:val="24"/>
          <w:szCs w:val="24"/>
        </w:rPr>
        <w:t xml:space="preserve">2 del Real Decreto, </w:t>
      </w:r>
      <w:r w:rsidR="00955687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que se </w:t>
      </w:r>
      <w:r w:rsidR="009257FE" w:rsidRPr="009257FE">
        <w:rPr>
          <w:rFonts w:ascii="Times New Roman" w:hAnsi="Times New Roman" w:cs="Times New Roman"/>
          <w:sz w:val="24"/>
          <w:szCs w:val="24"/>
        </w:rPr>
        <w:t>extenderán en fun</w:t>
      </w:r>
      <w:r>
        <w:rPr>
          <w:rFonts w:ascii="Times New Roman" w:hAnsi="Times New Roman" w:cs="Times New Roman"/>
          <w:sz w:val="24"/>
          <w:szCs w:val="24"/>
        </w:rPr>
        <w:t xml:space="preserve">ción del periodo de duración que </w:t>
      </w:r>
      <w:r w:rsidR="009257FE" w:rsidRPr="009257FE">
        <w:rPr>
          <w:rFonts w:ascii="Times New Roman" w:hAnsi="Times New Roman" w:cs="Times New Roman"/>
          <w:sz w:val="24"/>
          <w:szCs w:val="24"/>
        </w:rPr>
        <w:t>estime el médico que los emite.</w:t>
      </w:r>
      <w:r>
        <w:rPr>
          <w:rFonts w:ascii="Times New Roman" w:hAnsi="Times New Roman" w:cs="Times New Roman"/>
          <w:sz w:val="24"/>
          <w:szCs w:val="24"/>
        </w:rPr>
        <w:t xml:space="preserve"> Es decir, la periodicidad vendrá establecida por tablas de duración óptimas.  </w:t>
      </w:r>
      <w:r w:rsidR="009257FE" w:rsidRPr="009257FE">
        <w:rPr>
          <w:rFonts w:ascii="Times New Roman" w:hAnsi="Times New Roman" w:cs="Times New Roman"/>
          <w:sz w:val="24"/>
          <w:szCs w:val="24"/>
        </w:rPr>
        <w:t>A estos efectos se establecen cuatro grupos de procesos:</w:t>
      </w:r>
    </w:p>
    <w:p w:rsidR="009B58A1" w:rsidRDefault="009B58A1" w:rsidP="00925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domedio2-nfasis5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6268"/>
      </w:tblGrid>
      <w:tr w:rsidR="009B58A1" w:rsidTr="009B5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:rsidR="009B58A1" w:rsidRDefault="009B58A1" w:rsidP="00925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Periodicidad</w:t>
            </w:r>
            <w:r w:rsidR="00B05910">
              <w:rPr>
                <w:rFonts w:ascii="Times New Roman" w:hAnsi="Times New Roman" w:cs="Times New Roman"/>
                <w:sz w:val="24"/>
                <w:szCs w:val="24"/>
              </w:rPr>
              <w:t xml:space="preserve"> Baja</w:t>
            </w:r>
          </w:p>
        </w:tc>
        <w:tc>
          <w:tcPr>
            <w:tcW w:w="6551" w:type="dxa"/>
            <w:gridSpan w:val="2"/>
          </w:tcPr>
          <w:p w:rsidR="009B58A1" w:rsidRDefault="00B05910" w:rsidP="009257F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Caracteres </w:t>
            </w:r>
          </w:p>
        </w:tc>
      </w:tr>
      <w:tr w:rsidR="009B58A1" w:rsidTr="00B0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9B58A1" w:rsidRDefault="009B58A1" w:rsidP="009B58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&lt;5 días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cinco días</w:t>
            </w:r>
          </w:p>
        </w:tc>
        <w:tc>
          <w:tcPr>
            <w:tcW w:w="6268" w:type="dxa"/>
          </w:tcPr>
          <w:p w:rsidR="009B58A1" w:rsidRPr="009B58A1" w:rsidRDefault="009B58A1" w:rsidP="009B58A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8A1">
              <w:rPr>
                <w:rFonts w:ascii="Times New Roman" w:hAnsi="Times New Roman" w:cs="Times New Roman"/>
                <w:sz w:val="24"/>
                <w:szCs w:val="24"/>
              </w:rPr>
              <w:t>el facultativo emitirá el parte de baja y el parte de alta en el mismo acto médico.</w:t>
            </w:r>
          </w:p>
          <w:p w:rsidR="009B58A1" w:rsidRPr="009B58A1" w:rsidRDefault="00B05910" w:rsidP="009B58A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el mismo parte de baja s</w:t>
            </w:r>
            <w:r w:rsidR="009B58A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9B58A1" w:rsidRPr="009B58A1">
              <w:rPr>
                <w:rFonts w:ascii="Times New Roman" w:hAnsi="Times New Roman" w:cs="Times New Roman"/>
                <w:sz w:val="24"/>
                <w:szCs w:val="24"/>
              </w:rPr>
              <w:t>consignará la fecha del alta, que podrá ser la misma que la de la baja o cualquiera de los tres días naturales siguientes a esta.</w:t>
            </w:r>
          </w:p>
          <w:p w:rsidR="009B58A1" w:rsidRPr="009B58A1" w:rsidRDefault="00B05910" w:rsidP="009B58A1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B58A1" w:rsidRPr="009B58A1">
              <w:rPr>
                <w:rFonts w:ascii="Times New Roman" w:hAnsi="Times New Roman" w:cs="Times New Roman"/>
                <w:sz w:val="24"/>
                <w:szCs w:val="24"/>
              </w:rPr>
              <w:t>l trabajador podrá solicitar que se le realice un reconocimiento médico el día que se haya fijado como fecha de alta, y el facultativo podrá emitir el parte de confirmación de la baja, si considerase que el</w:t>
            </w:r>
            <w:r w:rsidR="009B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8A1" w:rsidRPr="009B58A1">
              <w:rPr>
                <w:rFonts w:ascii="Times New Roman" w:hAnsi="Times New Roman" w:cs="Times New Roman"/>
                <w:sz w:val="24"/>
                <w:szCs w:val="24"/>
              </w:rPr>
              <w:t>trabajador no ha recuperado su capacidad laboral.</w:t>
            </w:r>
          </w:p>
          <w:p w:rsidR="009B58A1" w:rsidRDefault="009B58A1" w:rsidP="009257F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A1" w:rsidTr="00B0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9B58A1" w:rsidRDefault="008136F8" w:rsidP="00925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E">
              <w:rPr>
                <w:rFonts w:ascii="Times New Roman" w:hAnsi="Times New Roman" w:cs="Times New Roman"/>
                <w:sz w:val="24"/>
                <w:szCs w:val="24"/>
              </w:rPr>
              <w:t>entre 5 y 30 días naturales</w:t>
            </w:r>
          </w:p>
        </w:tc>
        <w:tc>
          <w:tcPr>
            <w:tcW w:w="6268" w:type="dxa"/>
          </w:tcPr>
          <w:p w:rsidR="008136F8" w:rsidRDefault="008136F8" w:rsidP="008136F8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>el facultativo emitirá el parte de baja consignando en el mismo la fecha de la revisión médica prevista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>que, en ningún caso, excederá en más de siete días naturales a la fecha de baja inicial.</w:t>
            </w:r>
          </w:p>
          <w:p w:rsidR="008136F8" w:rsidRDefault="008136F8" w:rsidP="008136F8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 xml:space="preserve"> En la fecha de revisión se extenderá el parte de alta o, en caso de permanecer la incapacidad, el parte de </w:t>
            </w:r>
            <w:r w:rsidRPr="0081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confirmación de la baja.</w:t>
            </w:r>
          </w:p>
          <w:p w:rsidR="008136F8" w:rsidRPr="008136F8" w:rsidRDefault="008136F8" w:rsidP="008136F8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>Después de este primer parte de confirmación, los sucesivos, cuando sean necesarios, no podrán emitirse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>una diferencia de más de catorce días naturales entre sí.</w:t>
            </w:r>
          </w:p>
          <w:p w:rsidR="009B58A1" w:rsidRDefault="009B58A1" w:rsidP="009257F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A1" w:rsidTr="00B0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9B58A1" w:rsidRDefault="008136F8" w:rsidP="009257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entre 31 y 60 días natura</w:t>
            </w:r>
          </w:p>
        </w:tc>
        <w:tc>
          <w:tcPr>
            <w:tcW w:w="6268" w:type="dxa"/>
          </w:tcPr>
          <w:p w:rsidR="008136F8" w:rsidRDefault="008136F8" w:rsidP="008136F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>el facultativo del servicio público de salud, o de la mutua, emitirá el parte de baja consignando en el mismo la fecha de la revisión médica prevista que, en ningún caso, excederá en más de siete días naturales a la fecha de baja inicial, expidiéndose entonces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 xml:space="preserve">el parte de alta o, en su caso, el correspondiente parte de confirmación de la baja. </w:t>
            </w:r>
          </w:p>
          <w:p w:rsidR="008136F8" w:rsidRPr="008136F8" w:rsidRDefault="008136F8" w:rsidP="008136F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>Después de este primer parte de confirmación, los sucesivos, cuando sean necesarios, no podrán emitirse con una diferencia de más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>veintiocho días naturales entre sí.</w:t>
            </w:r>
          </w:p>
          <w:p w:rsidR="009B58A1" w:rsidRDefault="009B58A1" w:rsidP="009257F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A1" w:rsidTr="00B0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9B58A1" w:rsidRDefault="008136F8" w:rsidP="00813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</m:oMath>
            <w:r w:rsidRPr="009257FE">
              <w:rPr>
                <w:rFonts w:ascii="Times New Roman" w:hAnsi="Times New Roman" w:cs="Times New Roman"/>
                <w:sz w:val="24"/>
                <w:szCs w:val="24"/>
              </w:rPr>
              <w:t>61 o más días naturales</w:t>
            </w:r>
          </w:p>
        </w:tc>
        <w:tc>
          <w:tcPr>
            <w:tcW w:w="6268" w:type="dxa"/>
          </w:tcPr>
          <w:p w:rsidR="008136F8" w:rsidRDefault="008136F8" w:rsidP="008136F8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 xml:space="preserve">El facultativo emitirá el parte de baja en el que fijará la fecha de la revisión médica prevista, la cual en ningún caso excederá en más de catorce días naturales a la fecha de baja inicial, expidiéndose entonces el parte de alta o, en su caso, el correspondiente parte de confirmación de la baja. </w:t>
            </w:r>
          </w:p>
          <w:p w:rsidR="008136F8" w:rsidRPr="008136F8" w:rsidRDefault="008136F8" w:rsidP="008136F8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>Después de este primer parte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>de confirmación, los sucesivos, cuando sean necesarios, no podrán emitirse con una diferencia de más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>treinta y cinco días naturales entre sí.</w:t>
            </w:r>
          </w:p>
          <w:p w:rsidR="009B58A1" w:rsidRDefault="009B58A1" w:rsidP="009257F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8A1" w:rsidRPr="009257FE" w:rsidRDefault="009B58A1" w:rsidP="00925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7FE" w:rsidRDefault="009257FE" w:rsidP="0081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6F8" w:rsidRDefault="008136F8" w:rsidP="0081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definitiva los partes de baja </w:t>
      </w:r>
      <w:r w:rsidR="00955687">
        <w:rPr>
          <w:rFonts w:ascii="Times New Roman" w:hAnsi="Times New Roman" w:cs="Times New Roman"/>
          <w:sz w:val="24"/>
          <w:szCs w:val="24"/>
        </w:rPr>
        <w:t xml:space="preserve">por </w:t>
      </w:r>
      <w:r w:rsidR="00955687" w:rsidRPr="00955687">
        <w:rPr>
          <w:rFonts w:ascii="Times New Roman" w:hAnsi="Times New Roman" w:cs="Times New Roman"/>
          <w:sz w:val="24"/>
          <w:szCs w:val="24"/>
        </w:rPr>
        <w:t>Incapacidad temporal por contingencias comunes</w:t>
      </w:r>
      <w:r w:rsidR="0095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emitirán en función de la periodicidad de la baja, a continuación se establece la siguiente tabla de relación: </w:t>
      </w:r>
    </w:p>
    <w:p w:rsidR="008136F8" w:rsidRDefault="008136F8" w:rsidP="0081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687" w:rsidRDefault="00955687" w:rsidP="0081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domedio2-nfasis5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6268"/>
      </w:tblGrid>
      <w:tr w:rsidR="008136F8" w:rsidTr="00F90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:rsidR="008136F8" w:rsidRDefault="008136F8" w:rsidP="00813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Periodicidad Baja</w:t>
            </w:r>
          </w:p>
        </w:tc>
        <w:tc>
          <w:tcPr>
            <w:tcW w:w="6551" w:type="dxa"/>
            <w:gridSpan w:val="2"/>
          </w:tcPr>
          <w:p w:rsidR="008136F8" w:rsidRDefault="008136F8" w:rsidP="008136F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Caracteres del parte </w:t>
            </w:r>
          </w:p>
        </w:tc>
      </w:tr>
      <w:tr w:rsidR="008136F8" w:rsidTr="00F9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8136F8" w:rsidRPr="008136F8" w:rsidRDefault="008136F8" w:rsidP="008136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&lt;5 días </m:t>
              </m:r>
            </m:oMath>
            <w:r w:rsidRPr="008136F8">
              <w:rPr>
                <w:rFonts w:cstheme="minorHAnsi"/>
                <w:sz w:val="24"/>
                <w:szCs w:val="24"/>
              </w:rPr>
              <w:t>cinco días</w:t>
            </w:r>
          </w:p>
        </w:tc>
        <w:tc>
          <w:tcPr>
            <w:tcW w:w="6268" w:type="dxa"/>
          </w:tcPr>
          <w:p w:rsidR="008136F8" w:rsidRDefault="008136F8" w:rsidP="008136F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hay partes de bajas</w:t>
            </w:r>
          </w:p>
        </w:tc>
      </w:tr>
      <w:tr w:rsidR="008136F8" w:rsidTr="00F90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8136F8" w:rsidRPr="008136F8" w:rsidRDefault="008136F8" w:rsidP="008136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36F8">
              <w:rPr>
                <w:rFonts w:cstheme="minorHAnsi"/>
                <w:sz w:val="24"/>
                <w:szCs w:val="24"/>
              </w:rPr>
              <w:t>entre 5 y 30 días naturales</w:t>
            </w:r>
          </w:p>
        </w:tc>
        <w:tc>
          <w:tcPr>
            <w:tcW w:w="6268" w:type="dxa"/>
          </w:tcPr>
          <w:p w:rsidR="008136F8" w:rsidRDefault="008136F8" w:rsidP="008136F8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1º: a los </w:t>
            </w:r>
            <w:r w:rsidRPr="0081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días naturales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6F8" w:rsidRPr="008136F8" w:rsidRDefault="008136F8" w:rsidP="008136F8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sucesivos: </w:t>
            </w: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 xml:space="preserve">cuando sean necesarios, no podrán emitirse con una diferencia de más de </w:t>
            </w:r>
            <w:r w:rsidRPr="0081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 días naturales</w:t>
            </w: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 xml:space="preserve"> entre sí.</w:t>
            </w:r>
          </w:p>
          <w:p w:rsidR="008136F8" w:rsidRDefault="008136F8" w:rsidP="008136F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F8" w:rsidTr="00F90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8136F8" w:rsidRPr="008136F8" w:rsidRDefault="008136F8" w:rsidP="008136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36F8">
              <w:rPr>
                <w:rFonts w:cstheme="minorHAnsi"/>
                <w:sz w:val="24"/>
                <w:szCs w:val="24"/>
              </w:rPr>
              <w:t>entre 31 y 60 días natura</w:t>
            </w:r>
          </w:p>
        </w:tc>
        <w:tc>
          <w:tcPr>
            <w:tcW w:w="6268" w:type="dxa"/>
          </w:tcPr>
          <w:p w:rsidR="008136F8" w:rsidRDefault="008136F8" w:rsidP="008136F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1º: a los </w:t>
            </w:r>
            <w:r w:rsidRPr="0081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días naturales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6F8" w:rsidRPr="008136F8" w:rsidRDefault="008136F8" w:rsidP="008136F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sucesivos: </w:t>
            </w: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 xml:space="preserve">cuando sean necesarios, no podrán emitirse con una diferencia de más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1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días naturales</w:t>
            </w: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 xml:space="preserve"> entre sí.</w:t>
            </w:r>
          </w:p>
          <w:p w:rsidR="008136F8" w:rsidRDefault="008136F8" w:rsidP="008136F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F8" w:rsidTr="00F90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8136F8" w:rsidRPr="008136F8" w:rsidRDefault="008136F8" w:rsidP="008136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&gt;</m:t>
              </m:r>
            </m:oMath>
            <w:r w:rsidRPr="008136F8">
              <w:rPr>
                <w:rFonts w:cstheme="minorHAnsi"/>
                <w:sz w:val="24"/>
                <w:szCs w:val="24"/>
              </w:rPr>
              <w:t>61 o más días naturales</w:t>
            </w:r>
          </w:p>
        </w:tc>
        <w:tc>
          <w:tcPr>
            <w:tcW w:w="6268" w:type="dxa"/>
          </w:tcPr>
          <w:p w:rsidR="008136F8" w:rsidRPr="008136F8" w:rsidRDefault="008136F8" w:rsidP="008136F8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 xml:space="preserve">El 1º: a los </w:t>
            </w:r>
            <w:r w:rsidRPr="0081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días naturales</w:t>
            </w: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6F8" w:rsidRPr="008136F8" w:rsidRDefault="008136F8" w:rsidP="008136F8">
            <w:pPr>
              <w:pStyle w:val="Prrafodelista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 xml:space="preserve">Los sucesivos: cuando sean necesarios, no podrán emitirse con una diferencia de más de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  <w:r w:rsidRPr="0081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días naturales</w:t>
            </w: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 xml:space="preserve"> entre sí.</w:t>
            </w:r>
          </w:p>
          <w:p w:rsidR="008136F8" w:rsidRDefault="008136F8" w:rsidP="008136F8">
            <w:pPr>
              <w:pStyle w:val="Prrafodelista"/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6F8" w:rsidRPr="009257FE" w:rsidRDefault="008136F8" w:rsidP="0081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7FE" w:rsidRPr="009257FE" w:rsidRDefault="009257FE" w:rsidP="00813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7FE" w:rsidRDefault="008136F8" w:rsidP="00925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apartado cuarto del precepto mencionado establece que “s</w:t>
      </w:r>
      <w:r w:rsidR="009257FE" w:rsidRPr="009257FE">
        <w:rPr>
          <w:rFonts w:ascii="Times New Roman" w:hAnsi="Times New Roman" w:cs="Times New Roman"/>
          <w:sz w:val="24"/>
          <w:szCs w:val="24"/>
        </w:rPr>
        <w:t>iempre que se produzca una modificación o actualización del diagnóstico, se emitirá un parte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7FE" w:rsidRPr="009257FE">
        <w:rPr>
          <w:rFonts w:ascii="Times New Roman" w:hAnsi="Times New Roman" w:cs="Times New Roman"/>
          <w:sz w:val="24"/>
          <w:szCs w:val="24"/>
        </w:rPr>
        <w:t>confirmación que recogerá la duración estimada por el médico que lo emite. Los siguientes partes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7FE" w:rsidRPr="009257FE">
        <w:rPr>
          <w:rFonts w:ascii="Times New Roman" w:hAnsi="Times New Roman" w:cs="Times New Roman"/>
          <w:sz w:val="24"/>
          <w:szCs w:val="24"/>
        </w:rPr>
        <w:t>confirmación se expedirán en función de la nueva duración estimada.</w:t>
      </w:r>
    </w:p>
    <w:p w:rsidR="00AE6F14" w:rsidRPr="009257FE" w:rsidRDefault="00AE6F14" w:rsidP="00925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Otra característica de los nuevos partes de baja de </w:t>
      </w:r>
      <w:r w:rsidR="00955687">
        <w:rPr>
          <w:rFonts w:ascii="Times New Roman" w:hAnsi="Times New Roman" w:cs="Times New Roman"/>
          <w:sz w:val="24"/>
          <w:szCs w:val="24"/>
        </w:rPr>
        <w:t>Incapacidad temporal por contingencias comunes</w:t>
      </w:r>
      <w:r>
        <w:rPr>
          <w:rFonts w:ascii="Times New Roman" w:hAnsi="Times New Roman" w:cs="Times New Roman"/>
          <w:sz w:val="24"/>
          <w:szCs w:val="24"/>
        </w:rPr>
        <w:t xml:space="preserve"> es que deberán tener en código nacional de ocupación, el código del centro que emitido la baja médica, la fecha de baja del proceso original, y la fecha estimada de alta. </w:t>
      </w:r>
    </w:p>
    <w:p w:rsidR="00E72677" w:rsidRDefault="00E72677" w:rsidP="00E72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el  Real Decreto establece  la obligación de emisión de unos </w:t>
      </w:r>
      <w:r w:rsidRPr="00E72677">
        <w:rPr>
          <w:rFonts w:ascii="Times New Roman" w:hAnsi="Times New Roman" w:cs="Times New Roman"/>
          <w:sz w:val="24"/>
          <w:szCs w:val="24"/>
          <w:u w:val="single"/>
        </w:rPr>
        <w:t xml:space="preserve">informes complementarios </w:t>
      </w:r>
      <w:r>
        <w:rPr>
          <w:rFonts w:ascii="Times New Roman" w:hAnsi="Times New Roman" w:cs="Times New Roman"/>
          <w:sz w:val="24"/>
          <w:szCs w:val="24"/>
        </w:rPr>
        <w:t xml:space="preserve">para los procesos de </w:t>
      </w:r>
      <w:r w:rsidR="00955687">
        <w:rPr>
          <w:rFonts w:ascii="Times New Roman" w:hAnsi="Times New Roman" w:cs="Times New Roman"/>
          <w:sz w:val="24"/>
          <w:szCs w:val="24"/>
        </w:rPr>
        <w:t>Incapacidad temporal por contingencias comunes</w:t>
      </w:r>
      <w:r>
        <w:rPr>
          <w:rFonts w:ascii="Times New Roman" w:hAnsi="Times New Roman" w:cs="Times New Roman"/>
          <w:sz w:val="24"/>
          <w:szCs w:val="24"/>
        </w:rPr>
        <w:t xml:space="preserve"> cuya duración se prevea superior a los  a 30 días naturales y que deberán emitirse junto con </w:t>
      </w:r>
      <w:r w:rsidRPr="00E72677">
        <w:rPr>
          <w:rFonts w:ascii="Times New Roman" w:hAnsi="Times New Roman" w:cs="Times New Roman"/>
          <w:sz w:val="24"/>
          <w:szCs w:val="24"/>
        </w:rPr>
        <w:t>el segundo p</w:t>
      </w:r>
      <w:r>
        <w:rPr>
          <w:rFonts w:ascii="Times New Roman" w:hAnsi="Times New Roman" w:cs="Times New Roman"/>
          <w:sz w:val="24"/>
          <w:szCs w:val="24"/>
        </w:rPr>
        <w:t xml:space="preserve">arte de confirmación de la baja. </w:t>
      </w:r>
    </w:p>
    <w:p w:rsidR="00E72677" w:rsidRDefault="00E72677" w:rsidP="00E72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mencionado informe se recogerán los siguientes puntos: </w:t>
      </w:r>
    </w:p>
    <w:p w:rsidR="00E72677" w:rsidRDefault="00E72677" w:rsidP="00E7267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72677">
        <w:rPr>
          <w:rFonts w:ascii="Times New Roman" w:hAnsi="Times New Roman" w:cs="Times New Roman"/>
          <w:sz w:val="24"/>
          <w:szCs w:val="24"/>
        </w:rPr>
        <w:t>as dolencias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2677">
        <w:rPr>
          <w:rFonts w:ascii="Times New Roman" w:hAnsi="Times New Roman" w:cs="Times New Roman"/>
          <w:sz w:val="24"/>
          <w:szCs w:val="24"/>
        </w:rPr>
        <w:t xml:space="preserve">decidas por el trabajador, </w:t>
      </w:r>
    </w:p>
    <w:p w:rsidR="00E72677" w:rsidRDefault="00E72677" w:rsidP="00E7267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tratamiento médico prescrito</w:t>
      </w:r>
    </w:p>
    <w:p w:rsidR="00E72677" w:rsidRDefault="00E72677" w:rsidP="00E7267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72677">
        <w:rPr>
          <w:rFonts w:ascii="Times New Roman" w:hAnsi="Times New Roman" w:cs="Times New Roman"/>
          <w:sz w:val="24"/>
          <w:szCs w:val="24"/>
        </w:rPr>
        <w:t xml:space="preserve">as pruebas médicas en su caso realizadas </w:t>
      </w:r>
    </w:p>
    <w:p w:rsidR="00E72677" w:rsidRDefault="00E72677" w:rsidP="00E7267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E72677">
        <w:rPr>
          <w:rFonts w:ascii="Times New Roman" w:hAnsi="Times New Roman" w:cs="Times New Roman"/>
          <w:sz w:val="24"/>
          <w:szCs w:val="24"/>
        </w:rPr>
        <w:t>a evolución de las dolencias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677" w:rsidRDefault="00E72677" w:rsidP="00E7267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72677">
        <w:rPr>
          <w:rFonts w:ascii="Times New Roman" w:hAnsi="Times New Roman" w:cs="Times New Roman"/>
          <w:sz w:val="24"/>
          <w:szCs w:val="24"/>
        </w:rPr>
        <w:t xml:space="preserve">u incidencia sobre la capacidad funcional del interesado. </w:t>
      </w:r>
    </w:p>
    <w:p w:rsidR="00E72677" w:rsidRPr="00E72677" w:rsidRDefault="00E72677" w:rsidP="00E72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77">
        <w:rPr>
          <w:rFonts w:ascii="Times New Roman" w:hAnsi="Times New Roman" w:cs="Times New Roman"/>
          <w:sz w:val="24"/>
          <w:szCs w:val="24"/>
        </w:rPr>
        <w:t xml:space="preserve">los procesos </w:t>
      </w:r>
      <w:r w:rsidR="00955687">
        <w:rPr>
          <w:rFonts w:ascii="Times New Roman" w:hAnsi="Times New Roman" w:cs="Times New Roman"/>
          <w:sz w:val="24"/>
          <w:szCs w:val="24"/>
        </w:rPr>
        <w:t xml:space="preserve">de </w:t>
      </w:r>
      <w:r w:rsidR="00955687" w:rsidRPr="00955687">
        <w:rPr>
          <w:rFonts w:ascii="Times New Roman" w:hAnsi="Times New Roman" w:cs="Times New Roman"/>
          <w:sz w:val="24"/>
          <w:szCs w:val="24"/>
        </w:rPr>
        <w:t>Incapacidad temporal por contingencias comunes</w:t>
      </w:r>
      <w:r w:rsidR="00955687" w:rsidRPr="00E72677">
        <w:rPr>
          <w:rFonts w:ascii="Times New Roman" w:hAnsi="Times New Roman" w:cs="Times New Roman"/>
          <w:sz w:val="24"/>
          <w:szCs w:val="24"/>
        </w:rPr>
        <w:t xml:space="preserve"> </w:t>
      </w:r>
      <w:r w:rsidRPr="00E72677">
        <w:rPr>
          <w:rFonts w:ascii="Times New Roman" w:hAnsi="Times New Roman" w:cs="Times New Roman"/>
          <w:sz w:val="24"/>
          <w:szCs w:val="24"/>
        </w:rPr>
        <w:t>inicialmente previstos con una duración inferior y que sobrepasen el periodo estimado, dicho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77">
        <w:rPr>
          <w:rFonts w:ascii="Times New Roman" w:hAnsi="Times New Roman" w:cs="Times New Roman"/>
          <w:sz w:val="24"/>
          <w:szCs w:val="24"/>
        </w:rPr>
        <w:t>informe médico complementario deberá acompañar al parte de confirmación de la baja que pueda emitirse,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77">
        <w:rPr>
          <w:rFonts w:ascii="Times New Roman" w:hAnsi="Times New Roman" w:cs="Times New Roman"/>
          <w:sz w:val="24"/>
          <w:szCs w:val="24"/>
        </w:rPr>
        <w:t>su caso, una vez superados los 30 días naturales.</w:t>
      </w:r>
    </w:p>
    <w:p w:rsidR="00E72677" w:rsidRPr="00E72677" w:rsidRDefault="00E72677" w:rsidP="00E72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También se prevé un </w:t>
      </w:r>
      <w:r w:rsidRPr="00E72677">
        <w:rPr>
          <w:rFonts w:ascii="Times New Roman" w:hAnsi="Times New Roman" w:cs="Times New Roman"/>
          <w:sz w:val="24"/>
          <w:szCs w:val="24"/>
          <w:u w:val="single"/>
        </w:rPr>
        <w:t>informe de control</w:t>
      </w:r>
      <w:r w:rsidR="00955687">
        <w:rPr>
          <w:rFonts w:ascii="Times New Roman" w:hAnsi="Times New Roman" w:cs="Times New Roman"/>
          <w:sz w:val="24"/>
          <w:szCs w:val="24"/>
        </w:rPr>
        <w:t xml:space="preserve"> de la </w:t>
      </w:r>
      <w:r w:rsidR="00955687" w:rsidRPr="00955687">
        <w:rPr>
          <w:rFonts w:ascii="Times New Roman" w:hAnsi="Times New Roman" w:cs="Times New Roman"/>
          <w:sz w:val="24"/>
          <w:szCs w:val="24"/>
        </w:rPr>
        <w:t>Incapacidad temporal por contingencias comunes</w:t>
      </w:r>
      <w:r w:rsidRPr="00E7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E72677">
        <w:rPr>
          <w:rFonts w:ascii="Times New Roman" w:hAnsi="Times New Roman" w:cs="Times New Roman"/>
          <w:sz w:val="24"/>
          <w:szCs w:val="24"/>
        </w:rPr>
        <w:t>los procesos cuya gestión corresponda al servicio público de salud, trimestralmente, a contar desde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77">
        <w:rPr>
          <w:rFonts w:ascii="Times New Roman" w:hAnsi="Times New Roman" w:cs="Times New Roman"/>
          <w:sz w:val="24"/>
          <w:szCs w:val="24"/>
        </w:rPr>
        <w:t>fecha de inicio de la baja médica</w:t>
      </w:r>
      <w:r>
        <w:rPr>
          <w:rFonts w:ascii="Times New Roman" w:hAnsi="Times New Roman" w:cs="Times New Roman"/>
          <w:sz w:val="24"/>
          <w:szCs w:val="24"/>
        </w:rPr>
        <w:t>. Estos informes serán emitidos por</w:t>
      </w:r>
      <w:r w:rsidRPr="00E72677">
        <w:rPr>
          <w:rFonts w:ascii="Times New Roman" w:hAnsi="Times New Roman" w:cs="Times New Roman"/>
          <w:sz w:val="24"/>
          <w:szCs w:val="24"/>
        </w:rPr>
        <w:t xml:space="preserve"> la inspección médica del servicio público de salud o el médico de atención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77">
        <w:rPr>
          <w:rFonts w:ascii="Times New Roman" w:hAnsi="Times New Roman" w:cs="Times New Roman"/>
          <w:sz w:val="24"/>
          <w:szCs w:val="24"/>
        </w:rPr>
        <w:t>primaria, bajo la supervisión de su inspección médica, expedirá un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77">
        <w:rPr>
          <w:rFonts w:ascii="Times New Roman" w:hAnsi="Times New Roman" w:cs="Times New Roman"/>
          <w:sz w:val="24"/>
          <w:szCs w:val="24"/>
        </w:rPr>
        <w:t>que deberá pronunciarse expresamente sobre todos los extremos que justifiquen, desde el punto de 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77">
        <w:rPr>
          <w:rFonts w:ascii="Times New Roman" w:hAnsi="Times New Roman" w:cs="Times New Roman"/>
          <w:sz w:val="24"/>
          <w:szCs w:val="24"/>
        </w:rPr>
        <w:t xml:space="preserve">médico, la necesidad de mantener el proceso de </w:t>
      </w:r>
      <w:r w:rsidR="00955687">
        <w:rPr>
          <w:rFonts w:ascii="Times New Roman" w:hAnsi="Times New Roman" w:cs="Times New Roman"/>
          <w:sz w:val="24"/>
          <w:szCs w:val="24"/>
        </w:rPr>
        <w:t>Incapacidad temporal por contingencias comunes</w:t>
      </w:r>
      <w:r w:rsidRPr="00E72677">
        <w:rPr>
          <w:rFonts w:ascii="Times New Roman" w:hAnsi="Times New Roman" w:cs="Times New Roman"/>
          <w:sz w:val="24"/>
          <w:szCs w:val="24"/>
        </w:rPr>
        <w:t xml:space="preserve"> del trabajador.</w:t>
      </w:r>
    </w:p>
    <w:p w:rsidR="00E72677" w:rsidRPr="00034723" w:rsidRDefault="00E72677" w:rsidP="00E72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2677" w:rsidRPr="00034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F45"/>
    <w:multiLevelType w:val="hybridMultilevel"/>
    <w:tmpl w:val="0308A7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1541D"/>
    <w:multiLevelType w:val="hybridMultilevel"/>
    <w:tmpl w:val="38487A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B43877"/>
    <w:multiLevelType w:val="hybridMultilevel"/>
    <w:tmpl w:val="FF10BA2E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9607B3C"/>
    <w:multiLevelType w:val="hybridMultilevel"/>
    <w:tmpl w:val="03F886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DF3043"/>
    <w:multiLevelType w:val="hybridMultilevel"/>
    <w:tmpl w:val="7C5075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23"/>
    <w:rsid w:val="00034723"/>
    <w:rsid w:val="001D2017"/>
    <w:rsid w:val="004F5634"/>
    <w:rsid w:val="006C533F"/>
    <w:rsid w:val="007E3526"/>
    <w:rsid w:val="008136F8"/>
    <w:rsid w:val="009257FE"/>
    <w:rsid w:val="00955687"/>
    <w:rsid w:val="009B58A1"/>
    <w:rsid w:val="00A7370F"/>
    <w:rsid w:val="00AD038E"/>
    <w:rsid w:val="00AE6F14"/>
    <w:rsid w:val="00B05910"/>
    <w:rsid w:val="00E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C533F"/>
    <w:pPr>
      <w:keepNext/>
      <w:keepLines/>
      <w:pBdr>
        <w:bottom w:val="single" w:sz="4" w:space="1" w:color="auto"/>
      </w:pBdr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533F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table" w:styleId="Tablaconcuadrcula">
    <w:name w:val="Table Grid"/>
    <w:basedOn w:val="Tablanormal"/>
    <w:uiPriority w:val="59"/>
    <w:rsid w:val="009B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58A1"/>
    <w:pPr>
      <w:ind w:left="720"/>
      <w:contextualSpacing/>
    </w:pPr>
  </w:style>
  <w:style w:type="table" w:styleId="Sombreadomedio2-nfasis6">
    <w:name w:val="Medium Shading 2 Accent 6"/>
    <w:basedOn w:val="Tablanormal"/>
    <w:uiPriority w:val="64"/>
    <w:rsid w:val="009B5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B5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58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C533F"/>
    <w:pPr>
      <w:keepNext/>
      <w:keepLines/>
      <w:pBdr>
        <w:bottom w:val="single" w:sz="4" w:space="1" w:color="auto"/>
      </w:pBdr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533F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table" w:styleId="Tablaconcuadrcula">
    <w:name w:val="Table Grid"/>
    <w:basedOn w:val="Tablanormal"/>
    <w:uiPriority w:val="59"/>
    <w:rsid w:val="009B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58A1"/>
    <w:pPr>
      <w:ind w:left="720"/>
      <w:contextualSpacing/>
    </w:pPr>
  </w:style>
  <w:style w:type="table" w:styleId="Sombreadomedio2-nfasis6">
    <w:name w:val="Medium Shading 2 Accent 6"/>
    <w:basedOn w:val="Tablanormal"/>
    <w:uiPriority w:val="64"/>
    <w:rsid w:val="009B5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B5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58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2014-11-06T10:10:00Z</cp:lastPrinted>
  <dcterms:created xsi:type="dcterms:W3CDTF">2014-10-24T08:20:00Z</dcterms:created>
  <dcterms:modified xsi:type="dcterms:W3CDTF">2014-11-06T10:10:00Z</dcterms:modified>
</cp:coreProperties>
</file>